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04" w:rsidRPr="00152C52" w:rsidRDefault="00A517EA" w:rsidP="00152C52">
      <w:pPr>
        <w:widowControl w:val="0"/>
        <w:spacing w:before="100" w:beforeAutospacing="1" w:after="100" w:afterAutospacing="1" w:line="360" w:lineRule="auto"/>
        <w:jc w:val="both"/>
        <w:rPr>
          <w:rFonts w:ascii="Palatino Linotype"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02649">
        <w:rPr>
          <w:rFonts w:ascii="Palatino Linotype" w:hAnsi="Palatino Linotype" w:cs="Arial"/>
          <w:b/>
        </w:rPr>
        <w:t xml:space="preserve">VIGÉSIMA </w:t>
      </w:r>
      <w:r w:rsidR="006853B2">
        <w:rPr>
          <w:rFonts w:ascii="Palatino Linotype" w:hAnsi="Palatino Linotype" w:cs="Arial"/>
          <w:b/>
        </w:rPr>
        <w:t>NOVENA</w:t>
      </w:r>
      <w:r w:rsidR="00102649">
        <w:rPr>
          <w:rFonts w:ascii="Palatino Linotype" w:hAnsi="Palatino Linotype" w:cs="Arial"/>
          <w:b/>
        </w:rPr>
        <w:t xml:space="preserve"> </w:t>
      </w:r>
      <w:r w:rsidRPr="006D731E">
        <w:rPr>
          <w:rFonts w:ascii="Palatino Linotype" w:hAnsi="Palatino Linotype" w:cs="Arial"/>
          <w:b/>
        </w:rPr>
        <w:t xml:space="preserve">SESIÓN ORDINARIA DE </w:t>
      </w:r>
      <w:r w:rsidR="006853B2">
        <w:rPr>
          <w:rFonts w:ascii="Palatino Linotype" w:hAnsi="Palatino Linotype" w:cs="Arial"/>
          <w:b/>
        </w:rPr>
        <w:t>QUINCE DE AGOSTO</w:t>
      </w:r>
      <w:r w:rsidR="0052090E">
        <w:rPr>
          <w:rFonts w:ascii="Palatino Linotype" w:hAnsi="Palatino Linotype" w:cs="Arial"/>
          <w:b/>
        </w:rPr>
        <w:t xml:space="preserve"> DE</w:t>
      </w:r>
      <w:r w:rsidRPr="006D731E">
        <w:rPr>
          <w:rFonts w:ascii="Palatino Linotype" w:hAnsi="Palatino Linotype" w:cs="Arial"/>
          <w:b/>
        </w:rPr>
        <w:t xml:space="preserve"> DOS MIL </w:t>
      </w:r>
      <w:r w:rsidR="006D731E">
        <w:rPr>
          <w:rFonts w:ascii="Palatino Linotype" w:hAnsi="Palatino Linotype" w:cs="Arial"/>
          <w:b/>
        </w:rPr>
        <w:t>DIECIOCHO</w:t>
      </w:r>
      <w:r w:rsidRPr="006D731E">
        <w:rPr>
          <w:rFonts w:ascii="Palatino Linotype" w:hAnsi="Palatino Linotype" w:cs="Arial"/>
          <w:b/>
        </w:rPr>
        <w:t xml:space="preserve">, EN </w:t>
      </w:r>
      <w:r w:rsidR="0052090E">
        <w:rPr>
          <w:rFonts w:ascii="Palatino Linotype" w:hAnsi="Palatino Linotype" w:cs="Arial"/>
          <w:b/>
        </w:rPr>
        <w:t>EL</w:t>
      </w:r>
      <w:r w:rsidRPr="006D731E">
        <w:rPr>
          <w:rFonts w:ascii="Palatino Linotype" w:hAnsi="Palatino Linotype" w:cs="Arial"/>
          <w:b/>
        </w:rPr>
        <w:t xml:space="preserve"> RECURSO DE REVISIÓN </w:t>
      </w:r>
      <w:r w:rsidR="006853B2">
        <w:rPr>
          <w:rFonts w:ascii="Palatino Linotype" w:hAnsi="Palatino Linotype" w:cs="Arial"/>
          <w:b/>
        </w:rPr>
        <w:t>02016</w:t>
      </w:r>
      <w:r w:rsidR="00823404" w:rsidRPr="00823404">
        <w:rPr>
          <w:rFonts w:ascii="Palatino Linotype" w:hAnsi="Palatino Linotype" w:cs="Arial"/>
          <w:b/>
        </w:rPr>
        <w:t>/INFOEM/IP/RR/2018</w:t>
      </w:r>
      <w:r w:rsidR="0052090E">
        <w:rPr>
          <w:rFonts w:ascii="Palatino Linotype" w:hAnsi="Palatino Linotype" w:cs="Arial"/>
          <w:b/>
        </w:rPr>
        <w:t>.</w:t>
      </w:r>
    </w:p>
    <w:p w:rsidR="00F579EE" w:rsidRPr="006D731E" w:rsidRDefault="00A517EA" w:rsidP="00152C52">
      <w:pPr>
        <w:widowControl w:val="0"/>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w:t>
      </w:r>
      <w:r w:rsidR="0052090E">
        <w:rPr>
          <w:rFonts w:ascii="Palatino Linotype" w:hAnsi="Palatino Linotype" w:cs="Arial"/>
        </w:rPr>
        <w:t>el</w:t>
      </w:r>
      <w:r w:rsidRPr="006D731E">
        <w:rPr>
          <w:rFonts w:ascii="Palatino Linotype" w:hAnsi="Palatino Linotype" w:cs="Arial"/>
        </w:rPr>
        <w:t xml:space="preserve"> recurso de revisión </w:t>
      </w:r>
      <w:r w:rsidR="006853B2">
        <w:rPr>
          <w:rFonts w:ascii="Palatino Linotype" w:hAnsi="Palatino Linotype" w:cs="Arial"/>
          <w:b/>
        </w:rPr>
        <w:t>02016</w:t>
      </w:r>
      <w:r w:rsidR="00823404" w:rsidRPr="00823404">
        <w:rPr>
          <w:rFonts w:ascii="Palatino Linotype" w:hAnsi="Palatino Linotype" w:cs="Arial"/>
          <w:b/>
        </w:rPr>
        <w:t>/INFOEM/IP/RR/2018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6853B2">
        <w:rPr>
          <w:rFonts w:ascii="Palatino Linotype" w:hAnsi="Palatino Linotype" w:cs="Arial"/>
        </w:rPr>
        <w:t>el Comisionado</w:t>
      </w:r>
      <w:r w:rsidR="0052090E">
        <w:rPr>
          <w:rFonts w:ascii="Palatino Linotype" w:hAnsi="Palatino Linotype" w:cs="Arial"/>
        </w:rPr>
        <w:t xml:space="preserve"> </w:t>
      </w:r>
      <w:r w:rsidR="006853B2">
        <w:rPr>
          <w:rFonts w:ascii="Palatino Linotype" w:hAnsi="Palatino Linotype" w:cs="Arial"/>
          <w:b/>
        </w:rPr>
        <w:t>JAVIER MARTÍNEZ CRUZ</w:t>
      </w:r>
      <w:r w:rsidRPr="006D731E">
        <w:rPr>
          <w:rFonts w:ascii="Palatino Linotype" w:hAnsi="Palatino Linotype" w:cs="Arial"/>
        </w:rPr>
        <w:t xml:space="preserve">, </w:t>
      </w:r>
      <w:r w:rsidR="00F579EE">
        <w:rPr>
          <w:rFonts w:ascii="Palatino Linotype" w:hAnsi="Palatino Linotype" w:cs="Arial"/>
        </w:rPr>
        <w:t>que es del tenor siguiente.</w:t>
      </w:r>
    </w:p>
    <w:p w:rsidR="00C3451C" w:rsidRDefault="00A517EA" w:rsidP="00152C52">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 que la suscrita comparte esencialmente el estudio de la resolución del recurso de revisión; empero, considero necesario precisar algunas c</w:t>
      </w:r>
      <w:r w:rsidR="00152C52">
        <w:rPr>
          <w:rFonts w:ascii="Palatino Linotype" w:hAnsi="Palatino Linotype"/>
        </w:rPr>
        <w:t>uestiones</w:t>
      </w:r>
      <w:r w:rsidR="00F579EE">
        <w:rPr>
          <w:rFonts w:ascii="Palatino Linotype" w:hAnsi="Palatino Linotype"/>
        </w:rPr>
        <w:t xml:space="preserve"> de hecho y de derecho </w:t>
      </w:r>
      <w:r w:rsidR="00D05D82">
        <w:rPr>
          <w:rFonts w:ascii="Palatino Linotype" w:hAnsi="Palatino Linotype"/>
        </w:rPr>
        <w:t>en relación a</w:t>
      </w:r>
      <w:r w:rsidR="006853B2">
        <w:rPr>
          <w:rFonts w:ascii="Palatino Linotype" w:hAnsi="Palatino Linotype"/>
        </w:rPr>
        <w:t xml:space="preserve"> lo ordenado</w:t>
      </w:r>
      <w:r w:rsidR="00C3451C">
        <w:rPr>
          <w:rFonts w:ascii="Palatino Linotype" w:hAnsi="Palatino Linotype"/>
        </w:rPr>
        <w:t xml:space="preserve"> de la resolución de mérito.</w:t>
      </w:r>
    </w:p>
    <w:p w:rsidR="0052090E" w:rsidRPr="006D731E" w:rsidRDefault="00C3451C" w:rsidP="00152C52">
      <w:pPr>
        <w:spacing w:before="100" w:beforeAutospacing="1" w:after="100" w:afterAutospacing="1" w:line="360" w:lineRule="auto"/>
        <w:jc w:val="both"/>
        <w:rPr>
          <w:rFonts w:ascii="Palatino Linotype" w:hAnsi="Palatino Linotype"/>
        </w:rPr>
      </w:pPr>
      <w:r w:rsidRPr="006D731E">
        <w:rPr>
          <w:rFonts w:ascii="Palatino Linotype" w:hAnsi="Palatino Linotype"/>
        </w:rPr>
        <w:t xml:space="preserve"> </w:t>
      </w:r>
    </w:p>
    <w:p w:rsidR="00823404" w:rsidRDefault="00A517EA" w:rsidP="00152C52">
      <w:pPr>
        <w:spacing w:before="100" w:beforeAutospacing="1" w:after="100" w:afterAutospacing="1" w:line="360" w:lineRule="auto"/>
        <w:jc w:val="both"/>
        <w:rPr>
          <w:rFonts w:ascii="Palatino Linotype" w:hAnsi="Palatino Linotype"/>
        </w:rPr>
      </w:pPr>
      <w:r w:rsidRPr="006D731E">
        <w:rPr>
          <w:rFonts w:ascii="Palatino Linotype" w:hAnsi="Palatino Linotype"/>
        </w:rPr>
        <w:t>Al respecto, tal y como quedó debidamente asentado en la resoluci</w:t>
      </w:r>
      <w:r w:rsidR="007E4C17">
        <w:rPr>
          <w:rFonts w:ascii="Palatino Linotype" w:hAnsi="Palatino Linotype"/>
        </w:rPr>
        <w:t>ón materia del presente voto, el</w:t>
      </w:r>
      <w:r w:rsidRPr="006D731E">
        <w:rPr>
          <w:rFonts w:ascii="Palatino Linotype" w:hAnsi="Palatino Linotype"/>
        </w:rPr>
        <w:t xml:space="preserve"> particular requirió </w:t>
      </w:r>
      <w:r w:rsidR="00C3451C">
        <w:rPr>
          <w:rFonts w:ascii="Palatino Linotype" w:hAnsi="Palatino Linotype"/>
        </w:rPr>
        <w:t>a</w:t>
      </w:r>
      <w:r w:rsidR="00D60969">
        <w:rPr>
          <w:rFonts w:ascii="Palatino Linotype" w:hAnsi="Palatino Linotype"/>
        </w:rPr>
        <w:t xml:space="preserve">l </w:t>
      </w:r>
      <w:r w:rsidR="00D60969">
        <w:rPr>
          <w:rFonts w:ascii="Palatino Linotype" w:hAnsi="Palatino Linotype"/>
          <w:b/>
        </w:rPr>
        <w:t xml:space="preserve">Ayuntamiento de </w:t>
      </w:r>
      <w:proofErr w:type="spellStart"/>
      <w:r w:rsidR="006853B2">
        <w:rPr>
          <w:rFonts w:ascii="Palatino Linotype" w:hAnsi="Palatino Linotype"/>
          <w:b/>
        </w:rPr>
        <w:t>Ozumba</w:t>
      </w:r>
      <w:proofErr w:type="spellEnd"/>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lastRenderedPageBreak/>
        <w:t>SUJETO OBLIGADO</w:t>
      </w:r>
      <w:r w:rsidR="00FB60F4">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vía </w:t>
      </w:r>
      <w:r w:rsidR="00823404" w:rsidRPr="00823404">
        <w:rPr>
          <w:rFonts w:ascii="Palatino Linotype" w:hAnsi="Palatino Linotype"/>
        </w:rPr>
        <w:t>Sistema de Acceso a la Información Mexiqu</w:t>
      </w:r>
      <w:r w:rsidR="00823404">
        <w:rPr>
          <w:rFonts w:ascii="Palatino Linotype" w:hAnsi="Palatino Linotype"/>
        </w:rPr>
        <w:t>ense (</w:t>
      </w:r>
      <w:r w:rsidR="00823404" w:rsidRPr="00823404">
        <w:rPr>
          <w:rFonts w:ascii="Palatino Linotype" w:hAnsi="Palatino Linotype"/>
          <w:b/>
        </w:rPr>
        <w:t>SAIMEX</w:t>
      </w:r>
      <w:r w:rsidR="00823404">
        <w:rPr>
          <w:rFonts w:ascii="Palatino Linotype" w:hAnsi="Palatino Linotype"/>
        </w:rPr>
        <w:t>),</w:t>
      </w:r>
      <w:r w:rsidR="00D60969">
        <w:rPr>
          <w:rFonts w:ascii="Palatino Linotype" w:hAnsi="Palatino Linotype"/>
        </w:rPr>
        <w:t xml:space="preserve"> </w:t>
      </w:r>
      <w:r w:rsidR="006853B2">
        <w:rPr>
          <w:rFonts w:ascii="Palatino Linotype" w:hAnsi="Palatino Linotype"/>
        </w:rPr>
        <w:t>lo que se desagrega a continuación</w:t>
      </w:r>
      <w:r w:rsidR="00C3451C">
        <w:rPr>
          <w:rFonts w:ascii="Palatino Linotype" w:hAnsi="Palatino Linotype"/>
        </w:rPr>
        <w:t>.</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El presupuesto de egresos y las fórmulas de distribución de los recursos otorgados.</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El listado de expropiaciones decretadas y ejecutadas que incluya, cuando menos, la fecha de expropiación, el domicilio y la causa de utilidad pública y las ocupaciones superficiales.</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Los nombres de las personas a quienes se les habilitó para ejercer como corredores y notarios públicos, así como sus datos de contacto, la información relacionada con el proceso de otorgamiento de la patente y las sanciones que se les hubieran aplicado.</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La información detallada que contengan los planes de desarrollo urbano, ordenamiento territorial y ecológico, los tipos y usos de suelo, licencias de uso y construcción otorgadas por el gobierno municipal.</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El contenido de la gaceta municipal, misma que debe comprender los resolutivos y acuerdos aprobados por el ayuntamiento.</w:t>
      </w:r>
    </w:p>
    <w:p w:rsidR="006853B2" w:rsidRPr="006853B2" w:rsidRDefault="006853B2" w:rsidP="006853B2">
      <w:pPr>
        <w:pStyle w:val="Prrafodelista"/>
        <w:numPr>
          <w:ilvl w:val="0"/>
          <w:numId w:val="1"/>
        </w:numPr>
        <w:spacing w:before="240" w:after="240"/>
        <w:contextualSpacing w:val="0"/>
        <w:jc w:val="both"/>
        <w:rPr>
          <w:rFonts w:ascii="Palatino Linotype" w:hAnsi="Palatino Linotype"/>
          <w:sz w:val="22"/>
          <w:szCs w:val="22"/>
        </w:rPr>
      </w:pPr>
      <w:r w:rsidRPr="006853B2">
        <w:rPr>
          <w:rFonts w:ascii="Palatino Linotype" w:hAnsi="Palatino Linotype"/>
          <w:i/>
          <w:sz w:val="22"/>
          <w:szCs w:val="22"/>
          <w:lang w:val="es-ES"/>
        </w:rPr>
        <w:t>Las actas de sesiones de cabildo, los controles de asistencia de los integrantes del Ayuntamiento a las sesiones de cabildo y el sentido de votación de los miembros del cabildo sobre las iniciativas o acuerdos adoptados en lo que va del ejercicio.</w:t>
      </w:r>
    </w:p>
    <w:p w:rsidR="00C3451C" w:rsidRPr="006D731E" w:rsidRDefault="00C3451C" w:rsidP="006D731E">
      <w:pPr>
        <w:spacing w:line="360" w:lineRule="auto"/>
        <w:jc w:val="both"/>
        <w:rPr>
          <w:rFonts w:ascii="Palatino Linotype" w:hAnsi="Palatino Linotype"/>
        </w:rPr>
      </w:pPr>
    </w:p>
    <w:p w:rsidR="00A517EA" w:rsidRPr="006D731E" w:rsidRDefault="00A517EA" w:rsidP="00152C52">
      <w:pPr>
        <w:spacing w:before="100" w:beforeAutospacing="1" w:after="100" w:afterAutospacing="1" w:line="360" w:lineRule="auto"/>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2A6638">
        <w:rPr>
          <w:rFonts w:ascii="Palatino Linotype" w:hAnsi="Palatino Linotype" w:cs="Arial"/>
        </w:rPr>
        <w:t xml:space="preserve">dentro de su respuesta, </w:t>
      </w:r>
      <w:r w:rsidR="007E4C17">
        <w:rPr>
          <w:rFonts w:ascii="Palatino Linotype" w:hAnsi="Palatino Linotype" w:cs="Arial"/>
        </w:rPr>
        <w:t>adjuntó diversas ligas electrónicas así como archivos electrónicos con los cuales pretendía colmar la solicitud de acceso a la información pública</w:t>
      </w:r>
      <w:r w:rsidR="00C069FC">
        <w:rPr>
          <w:rFonts w:ascii="Palatino Linotype" w:hAnsi="Palatino Linotype" w:cs="Arial"/>
        </w:rPr>
        <w:t>.</w:t>
      </w:r>
    </w:p>
    <w:p w:rsidR="000F0C55" w:rsidRPr="006D731E" w:rsidRDefault="000F0C55" w:rsidP="00152C52">
      <w:pPr>
        <w:spacing w:before="100" w:beforeAutospacing="1" w:after="100" w:afterAutospacing="1" w:line="360" w:lineRule="auto"/>
        <w:jc w:val="both"/>
        <w:rPr>
          <w:rFonts w:ascii="Palatino Linotype" w:hAnsi="Palatino Linotype" w:cs="Arial"/>
        </w:rPr>
      </w:pPr>
    </w:p>
    <w:p w:rsidR="00E80F4B" w:rsidRDefault="00A517EA" w:rsidP="00152C52">
      <w:pPr>
        <w:spacing w:before="100" w:beforeAutospacing="1" w:after="100" w:afterAutospacing="1" w:line="360" w:lineRule="auto"/>
        <w:jc w:val="both"/>
        <w:rPr>
          <w:rFonts w:ascii="Palatino Linotype" w:hAnsi="Palatino Linotype" w:cs="Arial"/>
        </w:rPr>
      </w:pPr>
      <w:r w:rsidRPr="006D731E">
        <w:rPr>
          <w:rFonts w:ascii="Palatino Linotype" w:hAnsi="Palatino Linotype"/>
          <w:lang w:eastAsia="es-MX"/>
        </w:rPr>
        <w:t xml:space="preserve">Inconforme con la respuesta, </w:t>
      </w:r>
      <w:r w:rsidR="007E4C17">
        <w:rPr>
          <w:rFonts w:ascii="Palatino Linotype" w:hAnsi="Palatino Linotype"/>
          <w:b/>
          <w:lang w:eastAsia="es-MX"/>
        </w:rPr>
        <w:t>EL</w:t>
      </w:r>
      <w:r w:rsidRPr="006D731E">
        <w:rPr>
          <w:rFonts w:ascii="Palatino Linotype" w:hAnsi="Palatino Linotype"/>
          <w:b/>
          <w:lang w:eastAsia="es-MX"/>
        </w:rPr>
        <w:t xml:space="preserve"> RECURRENTE</w:t>
      </w:r>
      <w:r w:rsidRPr="006D731E">
        <w:rPr>
          <w:rFonts w:ascii="Palatino Linotype" w:hAnsi="Palatino Linotype"/>
          <w:lang w:eastAsia="es-MX"/>
        </w:rPr>
        <w:t xml:space="preserve"> </w:t>
      </w:r>
      <w:r w:rsidRPr="006D731E">
        <w:rPr>
          <w:rFonts w:ascii="Palatino Linotype" w:hAnsi="Palatino Linotype" w:cs="Arial"/>
        </w:rPr>
        <w:t xml:space="preserve">interpuso el recurso de revisión de mérito </w:t>
      </w:r>
      <w:r w:rsidR="00823404">
        <w:rPr>
          <w:rFonts w:ascii="Palatino Linotype" w:hAnsi="Palatino Linotype" w:cs="Arial"/>
        </w:rPr>
        <w:t xml:space="preserve">adoleciéndose </w:t>
      </w:r>
      <w:r w:rsidR="00722FFE">
        <w:rPr>
          <w:rFonts w:ascii="Palatino Linotype" w:hAnsi="Palatino Linotype"/>
        </w:rPr>
        <w:t>principalmente de que la respuesta se encontraba incompleta</w:t>
      </w:r>
      <w:r w:rsidR="00C069FC">
        <w:rPr>
          <w:rFonts w:ascii="Palatino Linotype" w:hAnsi="Palatino Linotype" w:cs="Arial"/>
        </w:rPr>
        <w:t>.</w:t>
      </w:r>
    </w:p>
    <w:p w:rsidR="00152C52" w:rsidRDefault="00A517EA" w:rsidP="00152C52">
      <w:pPr>
        <w:spacing w:before="100" w:beforeAutospacing="1" w:after="100" w:afterAutospacing="1" w:line="360" w:lineRule="auto"/>
        <w:jc w:val="both"/>
        <w:rPr>
          <w:rFonts w:ascii="Palatino Linotype" w:hAnsi="Palatino Linotype" w:cs="Arial"/>
          <w:b/>
        </w:rPr>
      </w:pPr>
      <w:r w:rsidRPr="00C069FC">
        <w:rPr>
          <w:rFonts w:ascii="Palatino Linotype" w:hAnsi="Palatino Linotype" w:cs="Arial"/>
        </w:rPr>
        <w:t>Así</w:t>
      </w:r>
      <w:r w:rsidRPr="006D731E">
        <w:rPr>
          <w:rFonts w:ascii="Palatino Linotype" w:hAnsi="Palatino Linotype" w:cs="Arial"/>
        </w:rPr>
        <w:t xml:space="preserve">,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722FFE">
        <w:rPr>
          <w:rFonts w:ascii="Palatino Linotype" w:hAnsi="Palatino Linotype" w:cs="Arial"/>
          <w:b/>
        </w:rPr>
        <w:t>MODIFICAR</w:t>
      </w:r>
      <w:r w:rsidR="00E867DE">
        <w:rPr>
          <w:rFonts w:ascii="Palatino Linotype" w:hAnsi="Palatino Linotype" w:cs="Arial"/>
          <w:b/>
        </w:rPr>
        <w:t xml:space="preserve"> </w:t>
      </w:r>
      <w:r w:rsidR="00E80F4B">
        <w:rPr>
          <w:rFonts w:ascii="Palatino Linotype" w:hAnsi="Palatino Linotype" w:cs="Arial"/>
        </w:rPr>
        <w:t xml:space="preserve">la respuesta </w:t>
      </w:r>
      <w:r w:rsidR="00E867DE">
        <w:rPr>
          <w:rFonts w:ascii="Palatino Linotype" w:hAnsi="Palatino Linotype" w:cs="Arial"/>
        </w:rPr>
        <w:t xml:space="preserve">del </w:t>
      </w:r>
      <w:r w:rsidR="00E867DE" w:rsidRPr="00E867DE">
        <w:rPr>
          <w:rFonts w:ascii="Palatino Linotype" w:hAnsi="Palatino Linotype" w:cs="Arial"/>
          <w:b/>
        </w:rPr>
        <w:t>SUJETO OBLIGADO</w:t>
      </w:r>
      <w:r w:rsidR="00E867DE">
        <w:rPr>
          <w:rFonts w:ascii="Palatino Linotype" w:hAnsi="Palatino Linotype" w:cs="Arial"/>
        </w:rPr>
        <w:t xml:space="preserve"> </w:t>
      </w:r>
      <w:r w:rsidR="00E80F4B">
        <w:rPr>
          <w:rFonts w:ascii="Palatino Linotype" w:hAnsi="Palatino Linotype" w:cs="Arial"/>
        </w:rPr>
        <w:t xml:space="preserve">ordenando </w:t>
      </w:r>
      <w:r w:rsidR="00722FFE">
        <w:rPr>
          <w:rFonts w:ascii="Palatino Linotype" w:hAnsi="Palatino Linotype" w:cs="Arial"/>
        </w:rPr>
        <w:t>la entrega de lo siguiente</w:t>
      </w:r>
      <w:r w:rsidR="00E80F4B" w:rsidRPr="00E80F4B">
        <w:rPr>
          <w:rFonts w:ascii="Palatino Linotype" w:hAnsi="Palatino Linotype" w:cs="Arial"/>
          <w:b/>
        </w:rPr>
        <w:t>.</w:t>
      </w:r>
    </w:p>
    <w:p w:rsidR="00722FFE" w:rsidRPr="00722FFE" w:rsidRDefault="00722FFE" w:rsidP="00722FFE">
      <w:pPr>
        <w:pStyle w:val="Prrafodelista"/>
        <w:numPr>
          <w:ilvl w:val="0"/>
          <w:numId w:val="2"/>
        </w:numPr>
        <w:spacing w:before="240" w:after="240"/>
        <w:jc w:val="both"/>
        <w:rPr>
          <w:rFonts w:ascii="Palatino Linotype" w:hAnsi="Palatino Linotype"/>
          <w:i/>
          <w:sz w:val="22"/>
          <w:szCs w:val="22"/>
        </w:rPr>
      </w:pPr>
      <w:r w:rsidRPr="00722FFE">
        <w:rPr>
          <w:rFonts w:ascii="Palatino Linotype" w:hAnsi="Palatino Linotype"/>
          <w:i/>
          <w:sz w:val="22"/>
          <w:szCs w:val="22"/>
        </w:rPr>
        <w:t>Presupuesto de Egresos aprobado para el ejercicio fiscal 2018.</w:t>
      </w:r>
    </w:p>
    <w:p w:rsidR="00722FFE" w:rsidRPr="00722FFE" w:rsidRDefault="00722FFE" w:rsidP="00722FFE">
      <w:pPr>
        <w:pStyle w:val="Prrafodelista"/>
        <w:numPr>
          <w:ilvl w:val="0"/>
          <w:numId w:val="2"/>
        </w:numPr>
        <w:spacing w:before="240" w:after="240"/>
        <w:jc w:val="both"/>
        <w:rPr>
          <w:rFonts w:ascii="Palatino Linotype" w:hAnsi="Palatino Linotype"/>
          <w:i/>
          <w:sz w:val="22"/>
          <w:szCs w:val="22"/>
        </w:rPr>
      </w:pPr>
      <w:r w:rsidRPr="00722FFE">
        <w:rPr>
          <w:rFonts w:ascii="Palatino Linotype" w:hAnsi="Palatino Linotype"/>
          <w:i/>
          <w:sz w:val="22"/>
          <w:szCs w:val="22"/>
        </w:rPr>
        <w:t xml:space="preserve">Documento(s) en donde conste(n) </w:t>
      </w:r>
      <w:r w:rsidRPr="00722FFE">
        <w:rPr>
          <w:rFonts w:ascii="Palatino Linotype" w:hAnsi="Palatino Linotype"/>
          <w:i/>
          <w:sz w:val="22"/>
          <w:szCs w:val="22"/>
          <w:lang w:val="es-ES"/>
        </w:rPr>
        <w:t>el listado de expropiaciones decretadas y ejecutadas del periodo comprendido del ocho de mayo de dos mil diecisiete al ocho de mayo del año en curso</w:t>
      </w:r>
      <w:r w:rsidRPr="00722FFE">
        <w:rPr>
          <w:rFonts w:ascii="Palatino Linotype" w:hAnsi="Palatino Linotype"/>
          <w:i/>
          <w:sz w:val="22"/>
          <w:szCs w:val="22"/>
        </w:rPr>
        <w:t xml:space="preserve">. </w:t>
      </w:r>
    </w:p>
    <w:p w:rsidR="00722FFE" w:rsidRPr="00722FFE" w:rsidRDefault="00722FFE" w:rsidP="00722FFE">
      <w:pPr>
        <w:numPr>
          <w:ilvl w:val="0"/>
          <w:numId w:val="2"/>
        </w:numPr>
        <w:spacing w:before="240" w:after="240"/>
        <w:jc w:val="both"/>
        <w:rPr>
          <w:rFonts w:ascii="Palatino Linotype" w:hAnsi="Palatino Linotype" w:cs="Arial"/>
          <w:i/>
          <w:sz w:val="22"/>
          <w:szCs w:val="22"/>
        </w:rPr>
      </w:pPr>
      <w:r w:rsidRPr="00722FFE">
        <w:rPr>
          <w:rFonts w:ascii="Palatino Linotype" w:hAnsi="Palatino Linotype"/>
          <w:i/>
          <w:sz w:val="22"/>
          <w:szCs w:val="22"/>
        </w:rPr>
        <w:t>Documento o documentos en donde conste(n) el nombre, denominación o razón social y clave del registro federal de los contribuyentes a los que se les hubiera cancelado o condonado algún crédito fiscal, así como los montos respectivos, así como la información estadística sobre las exenciones previstas en las disposiciones fiscales del ocho de mayo del dos mil diecisiete al treinta y uno de diciembre del mismo año.</w:t>
      </w:r>
    </w:p>
    <w:p w:rsidR="00722FFE" w:rsidRPr="00722FFE" w:rsidRDefault="00722FFE" w:rsidP="00722FFE">
      <w:pPr>
        <w:numPr>
          <w:ilvl w:val="0"/>
          <w:numId w:val="2"/>
        </w:numPr>
        <w:spacing w:before="240" w:after="240"/>
        <w:jc w:val="both"/>
        <w:rPr>
          <w:rFonts w:ascii="Palatino Linotype" w:hAnsi="Palatino Linotype" w:cs="Arial"/>
          <w:b/>
          <w:i/>
          <w:sz w:val="22"/>
          <w:szCs w:val="22"/>
        </w:rPr>
      </w:pPr>
      <w:r w:rsidRPr="00722FFE">
        <w:rPr>
          <w:rFonts w:ascii="Palatino Linotype" w:hAnsi="Palatino Linotype" w:cs="Arial"/>
          <w:b/>
          <w:i/>
          <w:sz w:val="22"/>
          <w:szCs w:val="22"/>
        </w:rPr>
        <w:t>El Acuerdo que emita el Comité de Transparencia en el que se confirme la declaración de incompetencia del Sujeto Obligado para atender el requerimiento identificado con el numeral 4 de la solicitud número 00084/OZUMBA/IP/2018.</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i/>
          <w:sz w:val="22"/>
          <w:szCs w:val="22"/>
        </w:rPr>
        <w:t>Plan Municipal de Desarrollo Urbano vigente al ocho de mayo de dos mil dieciocho.</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i/>
          <w:sz w:val="22"/>
          <w:szCs w:val="22"/>
        </w:rPr>
        <w:t>Licencias de uso de suelo otorgadas por el Sujeto Obligado durante el periodo comprendido del ocho de mayo de dos mil diecisiete al ocho de mayo de dos mil dieciocho.</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i/>
          <w:sz w:val="22"/>
          <w:szCs w:val="22"/>
        </w:rPr>
        <w:t>Licencias de construcción otorgadas por el gobierno municipal del ocho de mayo de la anualidad próxima pasada al ocho de mayo del año en curso.</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i/>
          <w:sz w:val="22"/>
          <w:szCs w:val="22"/>
        </w:rPr>
        <w:t>Gacetas Municipales número 37, 54 y 78 correspondientes al año 2017.</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i/>
          <w:sz w:val="22"/>
          <w:szCs w:val="22"/>
        </w:rPr>
        <w:t>Gacetas Municipales emitidas del 23 de marzo de dos mil dieciocho al ocho de mayo de la anualidad en curso.</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i/>
          <w:sz w:val="22"/>
          <w:szCs w:val="22"/>
        </w:rPr>
        <w:lastRenderedPageBreak/>
        <w:t>Actas de Cabildo Ordinarias que se hubiesen celebrado en el periodo de tiempo comprendido del veintidós de abril de dos mil dieciocho al ocho de mayo de la anualidad que transcurre.</w:t>
      </w:r>
    </w:p>
    <w:p w:rsidR="00722FFE" w:rsidRPr="00722FFE" w:rsidRDefault="00722FFE" w:rsidP="00722FFE">
      <w:pPr>
        <w:pStyle w:val="Prrafodelista"/>
        <w:numPr>
          <w:ilvl w:val="0"/>
          <w:numId w:val="2"/>
        </w:numPr>
        <w:spacing w:before="240" w:after="240"/>
        <w:contextualSpacing w:val="0"/>
        <w:jc w:val="both"/>
        <w:rPr>
          <w:rFonts w:ascii="Palatino Linotype" w:hAnsi="Palatino Linotype"/>
          <w:i/>
          <w:sz w:val="22"/>
          <w:szCs w:val="22"/>
        </w:rPr>
      </w:pPr>
      <w:r w:rsidRPr="00722FFE">
        <w:rPr>
          <w:rFonts w:ascii="Palatino Linotype" w:hAnsi="Palatino Linotype" w:cs="Arial"/>
          <w:i/>
          <w:sz w:val="22"/>
          <w:szCs w:val="22"/>
        </w:rPr>
        <w:t>Actas de sesiones extraordinarias de Cabildo que se hubiesen realizado en el periodo comprendido del veintiocho de abril de dos mil dieciocho al ocho de mayo de la anualidad en curso.</w:t>
      </w:r>
    </w:p>
    <w:p w:rsidR="00722FFE" w:rsidRPr="00722FFE" w:rsidRDefault="00722FFE" w:rsidP="00722FFE">
      <w:pPr>
        <w:pStyle w:val="Prrafodelista"/>
        <w:spacing w:before="240" w:after="240"/>
        <w:ind w:left="783"/>
        <w:jc w:val="both"/>
        <w:rPr>
          <w:rFonts w:ascii="Palatino Linotype" w:eastAsia="Calibri" w:hAnsi="Palatino Linotype" w:cs="Arial"/>
          <w:i/>
          <w:sz w:val="22"/>
          <w:szCs w:val="22"/>
          <w:lang w:val="es-ES_tradnl"/>
        </w:rPr>
      </w:pPr>
      <w:r w:rsidRPr="00722FFE">
        <w:rPr>
          <w:rFonts w:ascii="Palatino Linotype" w:hAnsi="Palatino Linotype" w:cs="Arial"/>
          <w:bCs/>
          <w:i/>
          <w:sz w:val="22"/>
          <w:szCs w:val="22"/>
          <w:shd w:val="clear" w:color="auto" w:fill="FFFFFF"/>
        </w:rPr>
        <w:t xml:space="preserve">Para lo cual se deberá emitir el Acuerdo del Comité de Transparencia en términos del artículo 49 fracción VIII y </w:t>
      </w:r>
      <w:r w:rsidRPr="00722FFE">
        <w:rPr>
          <w:rFonts w:ascii="Palatino Linotype" w:eastAsia="Calibri" w:hAnsi="Palatino Linotype" w:cs="Arial"/>
          <w:i/>
          <w:sz w:val="22"/>
          <w:szCs w:val="22"/>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rsidR="00722FFE" w:rsidRPr="00722FFE" w:rsidRDefault="00722FFE" w:rsidP="00722FFE">
      <w:pPr>
        <w:pStyle w:val="Prrafodelista"/>
        <w:spacing w:before="240" w:after="240"/>
        <w:ind w:left="783"/>
        <w:jc w:val="both"/>
        <w:rPr>
          <w:rFonts w:ascii="Palatino Linotype" w:eastAsia="Calibri" w:hAnsi="Palatino Linotype" w:cs="Arial"/>
          <w:i/>
          <w:sz w:val="22"/>
          <w:szCs w:val="22"/>
          <w:lang w:val="es-ES_tradnl"/>
        </w:rPr>
      </w:pPr>
      <w:r w:rsidRPr="00722FFE">
        <w:rPr>
          <w:rFonts w:ascii="Palatino Linotype" w:hAnsi="Palatino Linotype" w:cs="Arial"/>
          <w:bCs/>
          <w:i/>
          <w:sz w:val="22"/>
          <w:szCs w:val="22"/>
        </w:rPr>
        <w:t>De ser el caso de que la información cuya entrega se ordena a través de los incisos b), c) y k) no se hubiese generado bastara con que se informe de tal circunstancia al impetrante.</w:t>
      </w:r>
    </w:p>
    <w:p w:rsidR="00B30650" w:rsidRPr="0084078F" w:rsidRDefault="00B30650" w:rsidP="006D731E">
      <w:pPr>
        <w:spacing w:line="360" w:lineRule="auto"/>
        <w:jc w:val="both"/>
        <w:rPr>
          <w:rFonts w:ascii="Palatino Linotype" w:hAnsi="Palatino Linotype" w:cs="Arial"/>
          <w:sz w:val="16"/>
        </w:rPr>
      </w:pPr>
    </w:p>
    <w:p w:rsidR="00E867DE" w:rsidRPr="00FC13E0" w:rsidRDefault="00A517EA" w:rsidP="00152C52">
      <w:pPr>
        <w:spacing w:before="100" w:beforeAutospacing="1" w:after="100" w:afterAutospacing="1" w:line="360" w:lineRule="auto"/>
        <w:jc w:val="both"/>
        <w:rPr>
          <w:rFonts w:ascii="Palatino Linotype" w:hAnsi="Palatino Linotype" w:cs="Arial"/>
          <w:lang w:eastAsia="es-MX"/>
        </w:rPr>
      </w:pPr>
      <w:r w:rsidRPr="006D731E">
        <w:rPr>
          <w:rFonts w:ascii="Palatino Linotype" w:hAnsi="Palatino Linotype" w:cs="Arial"/>
        </w:rPr>
        <w:t xml:space="preserve">En ese sentido, la que suscribe reitera, que si bien coincide en términos generales con el </w:t>
      </w:r>
      <w:r w:rsidR="00E867DE">
        <w:rPr>
          <w:rFonts w:ascii="Palatino Linotype" w:hAnsi="Palatino Linotype" w:cs="Arial"/>
        </w:rPr>
        <w:t>estudio</w:t>
      </w:r>
      <w:r w:rsidRPr="006D731E">
        <w:rPr>
          <w:rFonts w:ascii="Palatino Linotype" w:hAnsi="Palatino Linotype" w:cs="Arial"/>
        </w:rPr>
        <w:t xml:space="preserve"> de la resolución en comento, </w:t>
      </w:r>
      <w:r w:rsidR="00424668">
        <w:rPr>
          <w:rFonts w:ascii="Palatino Linotype" w:hAnsi="Palatino Linotype" w:cs="Arial"/>
        </w:rPr>
        <w:t>difiero respecto a lo que se ordena dentro del inciso c).</w:t>
      </w:r>
    </w:p>
    <w:p w:rsidR="00E867DE" w:rsidRDefault="00975F9D" w:rsidP="00152C52">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Pu</w:t>
      </w:r>
      <w:r w:rsidR="00E867DE">
        <w:rPr>
          <w:rFonts w:ascii="Palatino Linotype" w:eastAsia="Calibri" w:hAnsi="Palatino Linotype" w:cs="Arial"/>
        </w:rPr>
        <w:t>es, s</w:t>
      </w:r>
      <w:r w:rsidR="00E867DE" w:rsidRPr="00DB7FA0">
        <w:rPr>
          <w:rFonts w:ascii="Palatino Linotype" w:eastAsia="Calibri" w:hAnsi="Palatino Linotype" w:cs="Arial"/>
        </w:rPr>
        <w:t>i bien es cierto l</w:t>
      </w:r>
      <w:r w:rsidR="00E867DE">
        <w:rPr>
          <w:rFonts w:ascii="Palatino Linotype" w:eastAsia="Calibri" w:hAnsi="Palatino Linotype" w:cs="Arial"/>
        </w:rPr>
        <w:t>o</w:t>
      </w:r>
      <w:r w:rsidR="00E867DE" w:rsidRPr="00DB7FA0">
        <w:rPr>
          <w:rFonts w:ascii="Palatino Linotype" w:eastAsia="Calibri" w:hAnsi="Palatino Linotype" w:cs="Arial"/>
        </w:rPr>
        <w:t xml:space="preserve"> establecido en el artículo 167 de la Ley de Transparencia y Acceso a la Información Pública, que indica que cuando </w:t>
      </w:r>
      <w:r w:rsidR="00E867DE">
        <w:rPr>
          <w:rFonts w:ascii="Palatino Linotype" w:eastAsia="Calibri" w:hAnsi="Palatino Linotype" w:cs="Arial"/>
        </w:rPr>
        <w:t>e</w:t>
      </w:r>
      <w:r w:rsidR="00E867DE" w:rsidRPr="00AC6338">
        <w:rPr>
          <w:rFonts w:ascii="Palatino Linotype" w:eastAsia="Calibri" w:hAnsi="Palatino Linotype" w:cs="Arial"/>
        </w:rPr>
        <w:t>l Sujeto Obligado</w:t>
      </w:r>
      <w:r w:rsidR="00E867DE" w:rsidRPr="00DB7FA0">
        <w:rPr>
          <w:rFonts w:ascii="Palatino Linotype" w:eastAsia="Calibri" w:hAnsi="Palatino Linotype" w:cs="Arial"/>
        </w:rPr>
        <w:t xml:space="preserve"> sea incompetente para dar contestación a la solicitud de información deberá notificar al particular y </w:t>
      </w:r>
      <w:r w:rsidR="00E867DE">
        <w:rPr>
          <w:rFonts w:ascii="Palatino Linotype" w:eastAsia="Calibri" w:hAnsi="Palatino Linotype" w:cs="Arial"/>
        </w:rPr>
        <w:t xml:space="preserve">de ser el caso </w:t>
      </w:r>
      <w:r w:rsidR="00E867DE" w:rsidRPr="00DB7FA0">
        <w:rPr>
          <w:rFonts w:ascii="Palatino Linotype" w:eastAsia="Calibri" w:hAnsi="Palatino Linotype" w:cs="Arial"/>
        </w:rPr>
        <w:t xml:space="preserve">orientarlo con el Sujeto Obligado competente, situación que </w:t>
      </w:r>
      <w:r w:rsidR="00AE263C">
        <w:rPr>
          <w:rFonts w:ascii="Palatino Linotype" w:eastAsia="Calibri" w:hAnsi="Palatino Linotype" w:cs="Arial"/>
        </w:rPr>
        <w:t>no se advierte dentro de las constancias que integran el expediente electrónico</w:t>
      </w:r>
      <w:r w:rsidR="00E867DE">
        <w:rPr>
          <w:rFonts w:ascii="Palatino Linotype" w:eastAsia="Calibri" w:hAnsi="Palatino Linotype" w:cs="Arial"/>
        </w:rPr>
        <w:t xml:space="preserve">; sin embargo, de </w:t>
      </w:r>
      <w:r w:rsidR="00E867DE" w:rsidRPr="00AC6338">
        <w:rPr>
          <w:rFonts w:ascii="Palatino Linotype" w:eastAsia="Calibri" w:hAnsi="Palatino Linotype" w:cs="Arial"/>
        </w:rPr>
        <w:t>determin</w:t>
      </w:r>
      <w:r w:rsidR="00E867DE">
        <w:rPr>
          <w:rFonts w:ascii="Palatino Linotype" w:eastAsia="Calibri" w:hAnsi="Palatino Linotype" w:cs="Arial"/>
        </w:rPr>
        <w:t>ar</w:t>
      </w:r>
      <w:r w:rsidR="00E867DE" w:rsidRPr="00AC6338">
        <w:rPr>
          <w:rFonts w:ascii="Palatino Linotype" w:eastAsia="Calibri" w:hAnsi="Palatino Linotype" w:cs="Arial"/>
        </w:rPr>
        <w:t xml:space="preserve"> la notoria incompetencia </w:t>
      </w:r>
      <w:r w:rsidR="00E867DE">
        <w:rPr>
          <w:rFonts w:ascii="Palatino Linotype" w:eastAsia="Calibri" w:hAnsi="Palatino Linotype" w:cs="Arial"/>
        </w:rPr>
        <w:t xml:space="preserve">debió comunicarlo al solicitante </w:t>
      </w:r>
      <w:r w:rsidR="00E867DE" w:rsidRPr="00AC6338">
        <w:rPr>
          <w:rFonts w:ascii="Palatino Linotype" w:eastAsia="Calibri" w:hAnsi="Palatino Linotype" w:cs="Arial"/>
        </w:rPr>
        <w:t>dentro de los tres días hábiles posteriores a la recepción de la solicitud</w:t>
      </w:r>
      <w:r w:rsidR="00E867DE">
        <w:rPr>
          <w:rFonts w:ascii="Palatino Linotype" w:eastAsia="Calibri" w:hAnsi="Palatino Linotype" w:cs="Arial"/>
        </w:rPr>
        <w:t>, y ante la falta de ello,</w:t>
      </w:r>
      <w:r w:rsidR="00E867DE" w:rsidRPr="00DB7FA0">
        <w:rPr>
          <w:rFonts w:ascii="Palatino Linotype" w:eastAsia="Calibri" w:hAnsi="Palatino Linotype" w:cs="Arial"/>
        </w:rPr>
        <w:t xml:space="preserve"> dicha incompetencia </w:t>
      </w:r>
      <w:r w:rsidR="00E867DE">
        <w:rPr>
          <w:rFonts w:ascii="Palatino Linotype" w:eastAsia="Calibri" w:hAnsi="Palatino Linotype" w:cs="Arial"/>
        </w:rPr>
        <w:t>tenía</w:t>
      </w:r>
      <w:r w:rsidR="00E867DE" w:rsidRPr="00DB7FA0">
        <w:rPr>
          <w:rFonts w:ascii="Palatino Linotype" w:eastAsia="Calibri" w:hAnsi="Palatino Linotype" w:cs="Arial"/>
        </w:rPr>
        <w:t xml:space="preserve"> que ser aprobada por el Comité de Transparencia del </w:t>
      </w:r>
      <w:r w:rsidR="00E867DE" w:rsidRPr="00AC6338">
        <w:rPr>
          <w:rFonts w:ascii="Palatino Linotype" w:eastAsia="Calibri" w:hAnsi="Palatino Linotype" w:cs="Arial"/>
        </w:rPr>
        <w:t>Sujeto Obligado</w:t>
      </w:r>
      <w:r w:rsidR="00152C52">
        <w:rPr>
          <w:rFonts w:ascii="Palatino Linotype" w:eastAsia="Calibri" w:hAnsi="Palatino Linotype" w:cs="Arial"/>
        </w:rPr>
        <w:t>;</w:t>
      </w:r>
      <w:r w:rsidR="00E867DE">
        <w:rPr>
          <w:rFonts w:ascii="Palatino Linotype" w:eastAsia="Calibri" w:hAnsi="Palatino Linotype" w:cs="Arial"/>
        </w:rPr>
        <w:t xml:space="preserve"> en éste caso</w:t>
      </w:r>
      <w:r w:rsidR="00152C52">
        <w:rPr>
          <w:rFonts w:ascii="Palatino Linotype" w:eastAsia="Calibri" w:hAnsi="Palatino Linotype" w:cs="Arial"/>
        </w:rPr>
        <w:t>,</w:t>
      </w:r>
      <w:r w:rsidR="00E867DE">
        <w:rPr>
          <w:rFonts w:ascii="Palatino Linotype" w:eastAsia="Calibri" w:hAnsi="Palatino Linotype" w:cs="Arial"/>
        </w:rPr>
        <w:t xml:space="preserve"> </w:t>
      </w:r>
      <w:r w:rsidR="00E867DE" w:rsidRPr="00DB7FA0">
        <w:rPr>
          <w:rFonts w:ascii="Palatino Linotype" w:eastAsia="Calibri" w:hAnsi="Palatino Linotype" w:cs="Arial"/>
        </w:rPr>
        <w:t xml:space="preserve"> en términos del artículo 49</w:t>
      </w:r>
      <w:r w:rsidR="00152C52">
        <w:rPr>
          <w:rFonts w:ascii="Palatino Linotype" w:eastAsia="Calibri" w:hAnsi="Palatino Linotype" w:cs="Arial"/>
        </w:rPr>
        <w:t>,</w:t>
      </w:r>
      <w:r w:rsidR="00E867DE" w:rsidRPr="00DB7FA0">
        <w:rPr>
          <w:rFonts w:ascii="Palatino Linotype" w:eastAsia="Calibri" w:hAnsi="Palatino Linotype" w:cs="Arial"/>
        </w:rPr>
        <w:t xml:space="preserve"> fraccion</w:t>
      </w:r>
      <w:r w:rsidR="00E867DE">
        <w:rPr>
          <w:rFonts w:ascii="Palatino Linotype" w:eastAsia="Calibri" w:hAnsi="Palatino Linotype" w:cs="Arial"/>
        </w:rPr>
        <w:t>es I y</w:t>
      </w:r>
      <w:r w:rsidR="00E867DE" w:rsidRPr="00DB7FA0">
        <w:rPr>
          <w:rFonts w:ascii="Palatino Linotype" w:eastAsia="Calibri" w:hAnsi="Palatino Linotype" w:cs="Arial"/>
        </w:rPr>
        <w:t xml:space="preserve"> II de la Ley </w:t>
      </w:r>
      <w:r w:rsidR="00E867DE" w:rsidRPr="00DB7FA0">
        <w:rPr>
          <w:rFonts w:ascii="Palatino Linotype" w:eastAsia="Calibri" w:hAnsi="Palatino Linotype" w:cs="Arial"/>
        </w:rPr>
        <w:lastRenderedPageBreak/>
        <w:t>de Transparencia y Acceso a la Información Pública del Estado de México y Municipios, que literalmente  señala:</w:t>
      </w:r>
    </w:p>
    <w:p w:rsidR="00152C52" w:rsidRPr="00DB7FA0" w:rsidRDefault="00152C52" w:rsidP="00152C52">
      <w:pPr>
        <w:spacing w:before="100" w:beforeAutospacing="1" w:after="100" w:afterAutospacing="1" w:line="360" w:lineRule="auto"/>
        <w:jc w:val="both"/>
        <w:rPr>
          <w:rFonts w:ascii="Palatino Linotype" w:eastAsia="Calibri" w:hAnsi="Palatino Linotype" w:cs="Arial"/>
        </w:rPr>
      </w:pPr>
    </w:p>
    <w:p w:rsidR="00E867DE" w:rsidRDefault="00E867DE" w:rsidP="00E867DE">
      <w:pPr>
        <w:ind w:left="709" w:right="757"/>
        <w:jc w:val="both"/>
        <w:rPr>
          <w:rFonts w:ascii="Palatino Linotype" w:eastAsia="Calibri" w:hAnsi="Palatino Linotype" w:cs="Arial"/>
          <w:i/>
          <w:sz w:val="22"/>
        </w:rPr>
      </w:pPr>
      <w:r w:rsidRPr="00DB7FA0">
        <w:rPr>
          <w:rFonts w:ascii="Palatino Linotype" w:eastAsia="Calibri" w:hAnsi="Palatino Linotype" w:cs="Arial"/>
          <w:i/>
          <w:sz w:val="22"/>
        </w:rPr>
        <w:t>“</w:t>
      </w:r>
      <w:r w:rsidRPr="00D324AA">
        <w:rPr>
          <w:rFonts w:ascii="Palatino Linotype" w:eastAsia="Calibri" w:hAnsi="Palatino Linotype" w:cs="Arial"/>
          <w:b/>
          <w:i/>
          <w:sz w:val="22"/>
        </w:rPr>
        <w:t>Artículo 49</w:t>
      </w:r>
      <w:r w:rsidRPr="00DB7FA0">
        <w:rPr>
          <w:rFonts w:ascii="Palatino Linotype" w:eastAsia="Calibri" w:hAnsi="Palatino Linotype" w:cs="Arial"/>
          <w:i/>
          <w:sz w:val="22"/>
        </w:rPr>
        <w:t>. Los Comités de Transparencia tendrán las siguientes atribuciones:</w:t>
      </w:r>
    </w:p>
    <w:p w:rsidR="00E867DE" w:rsidRPr="00DB7FA0" w:rsidRDefault="00E867DE" w:rsidP="00E867DE">
      <w:pPr>
        <w:ind w:left="709" w:right="757"/>
        <w:jc w:val="both"/>
        <w:rPr>
          <w:rFonts w:ascii="Palatino Linotype" w:eastAsia="Calibri" w:hAnsi="Palatino Linotype" w:cs="Arial"/>
          <w:i/>
          <w:sz w:val="22"/>
        </w:rPr>
      </w:pPr>
    </w:p>
    <w:p w:rsidR="00E867DE" w:rsidRDefault="00E867DE" w:rsidP="00E867DE">
      <w:pPr>
        <w:ind w:left="709" w:right="757"/>
        <w:jc w:val="both"/>
        <w:rPr>
          <w:rFonts w:ascii="Palatino Linotype" w:eastAsia="Calibri" w:hAnsi="Palatino Linotype" w:cs="Arial"/>
          <w:i/>
          <w:sz w:val="22"/>
        </w:rPr>
      </w:pPr>
      <w:r w:rsidRPr="00D324AA">
        <w:rPr>
          <w:rFonts w:ascii="Palatino Linotype" w:eastAsia="Calibri" w:hAnsi="Palatino Linotype" w:cs="Arial"/>
          <w:b/>
          <w:i/>
          <w:sz w:val="22"/>
        </w:rPr>
        <w:t>I</w:t>
      </w:r>
      <w:r w:rsidRPr="00DB7FA0">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E867DE" w:rsidRPr="00DB7FA0" w:rsidRDefault="00E867DE" w:rsidP="00E867DE">
      <w:pPr>
        <w:ind w:left="709" w:right="757"/>
        <w:jc w:val="both"/>
        <w:rPr>
          <w:rFonts w:ascii="Palatino Linotype" w:eastAsia="Calibri" w:hAnsi="Palatino Linotype" w:cs="Arial"/>
          <w:i/>
          <w:sz w:val="22"/>
        </w:rPr>
      </w:pPr>
    </w:p>
    <w:p w:rsidR="00555AB1" w:rsidRDefault="00E867DE" w:rsidP="00555AB1">
      <w:pPr>
        <w:ind w:left="709" w:right="757"/>
        <w:jc w:val="both"/>
        <w:rPr>
          <w:rFonts w:ascii="Palatino Linotype" w:eastAsia="Calibri" w:hAnsi="Palatino Linotype" w:cs="Arial"/>
          <w:i/>
          <w:sz w:val="22"/>
        </w:rPr>
      </w:pPr>
      <w:r w:rsidRPr="00D324AA">
        <w:rPr>
          <w:rFonts w:ascii="Palatino Linotype" w:eastAsia="Calibri" w:hAnsi="Palatino Linotype" w:cs="Arial"/>
          <w:b/>
          <w:i/>
          <w:sz w:val="22"/>
        </w:rPr>
        <w:t>II</w:t>
      </w:r>
      <w:r w:rsidRPr="00DB7FA0">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152C52" w:rsidRDefault="00152C52" w:rsidP="00555AB1">
      <w:pPr>
        <w:ind w:left="709" w:right="757"/>
        <w:jc w:val="both"/>
        <w:rPr>
          <w:rFonts w:ascii="Palatino Linotype" w:eastAsia="Calibri" w:hAnsi="Palatino Linotype" w:cs="Arial"/>
          <w:i/>
          <w:sz w:val="22"/>
        </w:rPr>
      </w:pPr>
    </w:p>
    <w:p w:rsidR="00555AB1" w:rsidRPr="00DB7FA0" w:rsidRDefault="00555AB1" w:rsidP="00555AB1">
      <w:pPr>
        <w:ind w:left="709" w:right="757"/>
        <w:jc w:val="both"/>
        <w:rPr>
          <w:rFonts w:ascii="Palatino Linotype" w:eastAsia="Calibri" w:hAnsi="Palatino Linotype" w:cs="Arial"/>
          <w:i/>
          <w:sz w:val="22"/>
        </w:rPr>
      </w:pPr>
    </w:p>
    <w:p w:rsidR="004F38F8" w:rsidRDefault="00E867DE" w:rsidP="004F38F8">
      <w:pPr>
        <w:spacing w:before="100" w:beforeAutospacing="1" w:after="100" w:afterAutospacing="1" w:line="360" w:lineRule="auto"/>
        <w:jc w:val="both"/>
        <w:rPr>
          <w:rFonts w:ascii="Palatino Linotype" w:eastAsia="Calibri" w:hAnsi="Palatino Linotype" w:cs="Arial"/>
        </w:rPr>
      </w:pPr>
      <w:r w:rsidRPr="00DB7FA0">
        <w:rPr>
          <w:rFonts w:ascii="Palatino Linotype" w:eastAsia="Calibri" w:hAnsi="Palatino Linotype" w:cs="Arial"/>
        </w:rPr>
        <w:t xml:space="preserve">En efecto, si bien </w:t>
      </w:r>
      <w:r>
        <w:rPr>
          <w:rFonts w:ascii="Palatino Linotype" w:eastAsia="Calibri" w:hAnsi="Palatino Linotype" w:cs="Arial"/>
          <w:b/>
        </w:rPr>
        <w:t>EL SUJETO OBLIGADO</w:t>
      </w:r>
      <w:r w:rsidRPr="00DB7FA0">
        <w:rPr>
          <w:rFonts w:ascii="Palatino Linotype" w:eastAsia="Calibri" w:hAnsi="Palatino Linotype" w:cs="Arial"/>
        </w:rPr>
        <w:t xml:space="preserve"> no tiene competencia para administrar, generar o poseer la información solicitada por </w:t>
      </w:r>
      <w:r w:rsidR="001D10F9">
        <w:rPr>
          <w:rFonts w:ascii="Palatino Linotype" w:eastAsia="Calibri" w:hAnsi="Palatino Linotype" w:cs="Arial"/>
          <w:b/>
        </w:rPr>
        <w:t>EL</w:t>
      </w:r>
      <w:r w:rsidRPr="00DB7FA0">
        <w:rPr>
          <w:rFonts w:ascii="Palatino Linotype" w:eastAsia="Calibri" w:hAnsi="Palatino Linotype" w:cs="Arial"/>
          <w:b/>
        </w:rPr>
        <w:t xml:space="preserve"> RECURRENTE</w:t>
      </w:r>
      <w:r w:rsidRPr="00DB7FA0">
        <w:rPr>
          <w:rFonts w:ascii="Palatino Linotype" w:eastAsia="Calibri" w:hAnsi="Palatino Linotype" w:cs="Arial"/>
        </w:rPr>
        <w:t>,</w:t>
      </w:r>
      <w:r w:rsidR="00975F9D">
        <w:rPr>
          <w:rFonts w:ascii="Palatino Linotype" w:eastAsia="Calibri" w:hAnsi="Palatino Linotype" w:cs="Arial"/>
        </w:rPr>
        <w:t xml:space="preserve"> en virtud de ser atribución de la</w:t>
      </w:r>
      <w:r w:rsidR="001D10F9" w:rsidRPr="005D7DDF">
        <w:rPr>
          <w:rFonts w:ascii="Palatino Linotype" w:hAnsi="Palatino Linotype" w:cs="Arial"/>
          <w:lang w:eastAsia="es-MX"/>
        </w:rPr>
        <w:t xml:space="preserve"> Secretaría de Economía</w:t>
      </w:r>
      <w:r w:rsidR="00152C52">
        <w:rPr>
          <w:rFonts w:ascii="Palatino Linotype" w:hAnsi="Palatino Linotype" w:cs="Arial"/>
          <w:lang w:eastAsia="es-MX"/>
        </w:rPr>
        <w:t xml:space="preserve"> y l</w:t>
      </w:r>
      <w:r w:rsidR="00152C52" w:rsidRPr="00152C52">
        <w:rPr>
          <w:rFonts w:ascii="Palatino Linotype" w:hAnsi="Palatino Linotype" w:cs="Arial"/>
          <w:lang w:eastAsia="es-MX"/>
        </w:rPr>
        <w:t>a Secretaría de Justicia y Derechos Humanos</w:t>
      </w:r>
      <w:r w:rsidR="001D10F9">
        <w:rPr>
          <w:rFonts w:ascii="Palatino Linotype" w:hAnsi="Palatino Linotype" w:cs="Arial"/>
          <w:lang w:eastAsia="es-MX"/>
        </w:rPr>
        <w:t xml:space="preserve">, dicha incompetencia fue advertida por la Ponencia </w:t>
      </w:r>
      <w:proofErr w:type="spellStart"/>
      <w:r w:rsidR="001D10F9">
        <w:rPr>
          <w:rFonts w:ascii="Palatino Linotype" w:hAnsi="Palatino Linotype" w:cs="Arial"/>
          <w:lang w:eastAsia="es-MX"/>
        </w:rPr>
        <w:t>Resolutora</w:t>
      </w:r>
      <w:proofErr w:type="spellEnd"/>
      <w:r w:rsidR="001D10F9">
        <w:rPr>
          <w:rFonts w:ascii="Palatino Linotype" w:hAnsi="Palatino Linotype" w:cs="Arial"/>
          <w:lang w:eastAsia="es-MX"/>
        </w:rPr>
        <w:t xml:space="preserve"> y no por </w:t>
      </w:r>
      <w:r w:rsidR="001D10F9" w:rsidRPr="001D10F9">
        <w:rPr>
          <w:rFonts w:ascii="Palatino Linotype" w:hAnsi="Palatino Linotype" w:cs="Arial"/>
          <w:b/>
          <w:lang w:eastAsia="es-MX"/>
        </w:rPr>
        <w:t>EL SUJETO OBLIGADO</w:t>
      </w:r>
      <w:r w:rsidR="001D10F9">
        <w:rPr>
          <w:rFonts w:ascii="Palatino Linotype" w:hAnsi="Palatino Linotype" w:cs="Arial"/>
          <w:lang w:eastAsia="es-MX"/>
        </w:rPr>
        <w:t>, por lo que se considera que no se debió ordenar lo que comprende el inciso c) del resolutivo segundo</w:t>
      </w:r>
      <w:r w:rsidR="00152C52">
        <w:rPr>
          <w:rFonts w:ascii="Palatino Linotype" w:hAnsi="Palatino Linotype" w:cs="Arial"/>
          <w:lang w:eastAsia="es-MX"/>
        </w:rPr>
        <w:t>,</w:t>
      </w:r>
      <w:r w:rsidR="001D10F9">
        <w:rPr>
          <w:rFonts w:ascii="Palatino Linotype" w:hAnsi="Palatino Linotype" w:cs="Arial"/>
          <w:lang w:eastAsia="es-MX"/>
        </w:rPr>
        <w:t xml:space="preserve"> en virtud de </w:t>
      </w:r>
      <w:r w:rsidR="00152C52">
        <w:rPr>
          <w:rFonts w:ascii="Palatino Linotype" w:hAnsi="Palatino Linotype" w:cs="Arial"/>
          <w:lang w:eastAsia="es-MX"/>
        </w:rPr>
        <w:t xml:space="preserve">que la Ponencia </w:t>
      </w:r>
      <w:proofErr w:type="spellStart"/>
      <w:r w:rsidR="00152C52">
        <w:rPr>
          <w:rFonts w:ascii="Palatino Linotype" w:hAnsi="Palatino Linotype" w:cs="Arial"/>
          <w:lang w:eastAsia="es-MX"/>
        </w:rPr>
        <w:t>Resolutora</w:t>
      </w:r>
      <w:proofErr w:type="spellEnd"/>
      <w:r w:rsidR="00152C52">
        <w:rPr>
          <w:rFonts w:ascii="Palatino Linotype" w:hAnsi="Palatino Linotype" w:cs="Arial"/>
          <w:lang w:eastAsia="es-MX"/>
        </w:rPr>
        <w:t xml:space="preserve"> dejó</w:t>
      </w:r>
      <w:r w:rsidR="001D10F9">
        <w:rPr>
          <w:rFonts w:ascii="Palatino Linotype" w:hAnsi="Palatino Linotype" w:cs="Arial"/>
          <w:lang w:eastAsia="es-MX"/>
        </w:rPr>
        <w:t xml:space="preserve"> sin materia dicho punto</w:t>
      </w:r>
      <w:r w:rsidRPr="00DB7FA0">
        <w:rPr>
          <w:rFonts w:ascii="Palatino Linotype" w:eastAsia="Calibri" w:hAnsi="Palatino Linotype" w:cs="Arial"/>
        </w:rPr>
        <w:t>.</w:t>
      </w:r>
    </w:p>
    <w:p w:rsidR="004F38F8" w:rsidRPr="00152C52" w:rsidRDefault="004F38F8" w:rsidP="004F38F8">
      <w:pPr>
        <w:spacing w:before="100" w:beforeAutospacing="1" w:after="100" w:afterAutospacing="1" w:line="360" w:lineRule="auto"/>
        <w:jc w:val="both"/>
        <w:rPr>
          <w:rFonts w:ascii="Palatino Linotype" w:eastAsia="Calibri" w:hAnsi="Palatino Linotype" w:cs="Arial"/>
        </w:rPr>
      </w:pPr>
    </w:p>
    <w:p w:rsidR="005B3099" w:rsidRDefault="005B3099" w:rsidP="004F38F8">
      <w:pPr>
        <w:spacing w:before="100" w:beforeAutospacing="1" w:after="100" w:afterAutospacing="1" w:line="360" w:lineRule="auto"/>
        <w:ind w:right="49"/>
        <w:jc w:val="both"/>
        <w:rPr>
          <w:rFonts w:ascii="Palatino Linotype" w:hAnsi="Palatino Linotype" w:cs="Arial"/>
        </w:rPr>
      </w:pPr>
      <w:r w:rsidRPr="00574CFC">
        <w:rPr>
          <w:rFonts w:ascii="Palatino Linotype" w:hAnsi="Palatino Linotype"/>
        </w:rPr>
        <w:lastRenderedPageBreak/>
        <w:t xml:space="preserve">En razón de lo expuesto, la que suscribe </w:t>
      </w:r>
      <w:r w:rsidRPr="00574CFC">
        <w:rPr>
          <w:rFonts w:ascii="Palatino Linotype" w:hAnsi="Palatino Linotype" w:cs="Arial"/>
        </w:rPr>
        <w:t xml:space="preserve">emite </w:t>
      </w:r>
      <w:r w:rsidRPr="00574CFC">
        <w:rPr>
          <w:rFonts w:ascii="Palatino Linotype" w:hAnsi="Palatino Linotype" w:cs="Arial"/>
          <w:b/>
        </w:rPr>
        <w:t xml:space="preserve">VOTO PARTICULAR </w:t>
      </w:r>
      <w:r w:rsidRPr="00574CFC">
        <w:rPr>
          <w:rFonts w:ascii="Palatino Linotype" w:hAnsi="Palatino Linotype" w:cs="Arial"/>
        </w:rPr>
        <w:t xml:space="preserve">pues se insiste que la Ponencia </w:t>
      </w:r>
      <w:proofErr w:type="spellStart"/>
      <w:r w:rsidRPr="00574CFC">
        <w:rPr>
          <w:rFonts w:ascii="Palatino Linotype" w:hAnsi="Palatino Linotype" w:cs="Arial"/>
        </w:rPr>
        <w:t>Resolutora</w:t>
      </w:r>
      <w:proofErr w:type="spellEnd"/>
      <w:r w:rsidRPr="00574CFC">
        <w:rPr>
          <w:rFonts w:ascii="Palatino Linotype" w:hAnsi="Palatino Linotype" w:cs="Arial"/>
        </w:rPr>
        <w:t xml:space="preserve"> debió </w:t>
      </w:r>
      <w:r w:rsidR="001D10F9">
        <w:rPr>
          <w:rFonts w:ascii="Palatino Linotype" w:hAnsi="Palatino Linotype" w:cs="Arial"/>
        </w:rPr>
        <w:t xml:space="preserve">dejar sin materia el punto 4 de la solicitud de información pública por no ser competente </w:t>
      </w:r>
      <w:r w:rsidR="00152C52">
        <w:rPr>
          <w:rFonts w:ascii="Palatino Linotype" w:hAnsi="Palatino Linotype" w:cs="Arial"/>
          <w:b/>
        </w:rPr>
        <w:t>EL SUJE</w:t>
      </w:r>
      <w:r w:rsidR="001D10F9" w:rsidRPr="001D10F9">
        <w:rPr>
          <w:rFonts w:ascii="Palatino Linotype" w:hAnsi="Palatino Linotype" w:cs="Arial"/>
          <w:b/>
        </w:rPr>
        <w:t>TO OBLIGADO</w:t>
      </w:r>
      <w:r w:rsidR="004F38F8">
        <w:rPr>
          <w:rFonts w:ascii="Palatino Linotype" w:hAnsi="Palatino Linotype" w:cs="Arial"/>
        </w:rPr>
        <w:t>.</w:t>
      </w:r>
    </w:p>
    <w:p w:rsidR="005B3099" w:rsidRDefault="005B3099" w:rsidP="00152C52">
      <w:pPr>
        <w:spacing w:before="100" w:beforeAutospacing="1" w:after="100" w:afterAutospacing="1" w:line="360" w:lineRule="auto"/>
        <w:jc w:val="both"/>
        <w:rPr>
          <w:rFonts w:ascii="Palatino Linotype" w:hAnsi="Palatino Linotype" w:cs="Arial"/>
        </w:rPr>
      </w:pPr>
    </w:p>
    <w:p w:rsidR="004F38F8" w:rsidRDefault="004F38F8" w:rsidP="00152C52">
      <w:pPr>
        <w:spacing w:before="100" w:beforeAutospacing="1" w:after="100" w:afterAutospacing="1" w:line="360" w:lineRule="auto"/>
        <w:jc w:val="both"/>
        <w:rPr>
          <w:rFonts w:ascii="Palatino Linotype" w:hAnsi="Palatino Linotype" w:cs="Arial"/>
        </w:rPr>
      </w:pPr>
    </w:p>
    <w:p w:rsidR="004F38F8" w:rsidRDefault="004F38F8" w:rsidP="00152C52">
      <w:pPr>
        <w:spacing w:before="100" w:beforeAutospacing="1" w:after="100" w:afterAutospacing="1" w:line="360" w:lineRule="auto"/>
        <w:jc w:val="both"/>
        <w:rPr>
          <w:rFonts w:ascii="Palatino Linotype" w:hAnsi="Palatino Linotype" w:cs="Arial"/>
        </w:rPr>
      </w:pPr>
    </w:p>
    <w:p w:rsidR="004F38F8" w:rsidRDefault="004F38F8" w:rsidP="00152C52">
      <w:pPr>
        <w:spacing w:before="100" w:beforeAutospacing="1" w:after="100" w:afterAutospacing="1" w:line="360" w:lineRule="auto"/>
        <w:jc w:val="both"/>
        <w:rPr>
          <w:rFonts w:ascii="Palatino Linotype" w:hAnsi="Palatino Linotype" w:cs="Arial"/>
        </w:rPr>
      </w:pPr>
    </w:p>
    <w:p w:rsidR="004F38F8" w:rsidRDefault="004F38F8" w:rsidP="00152C52">
      <w:pPr>
        <w:spacing w:before="100" w:beforeAutospacing="1" w:after="100" w:afterAutospacing="1" w:line="360" w:lineRule="auto"/>
        <w:jc w:val="both"/>
        <w:rPr>
          <w:rFonts w:ascii="Palatino Linotype" w:hAnsi="Palatino Linotype" w:cs="Arial"/>
        </w:rPr>
      </w:pPr>
    </w:p>
    <w:p w:rsidR="004F38F8" w:rsidRPr="00574CFC" w:rsidRDefault="004F38F8" w:rsidP="00152C52">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5B3099" w:rsidRPr="00574CFC" w:rsidTr="00F15AB3">
        <w:trPr>
          <w:jc w:val="center"/>
        </w:trPr>
        <w:tc>
          <w:tcPr>
            <w:tcW w:w="4393" w:type="dxa"/>
          </w:tcPr>
          <w:p w:rsidR="005B3099" w:rsidRPr="00574CFC" w:rsidRDefault="005B3099" w:rsidP="00F15AB3">
            <w:pPr>
              <w:jc w:val="center"/>
              <w:rPr>
                <w:rFonts w:ascii="Palatino Linotype" w:hAnsi="Palatino Linotype"/>
                <w:b/>
              </w:rPr>
            </w:pPr>
            <w:r w:rsidRPr="00574CFC">
              <w:rPr>
                <w:rFonts w:ascii="Palatino Linotype" w:hAnsi="Palatino Linotype"/>
                <w:b/>
              </w:rPr>
              <w:t>EVA ABAID YAPUR</w:t>
            </w:r>
          </w:p>
          <w:p w:rsidR="005B3099" w:rsidRDefault="005B3099" w:rsidP="0084078F">
            <w:pPr>
              <w:jc w:val="center"/>
              <w:rPr>
                <w:rFonts w:ascii="Palatino Linotype" w:hAnsi="Palatino Linotype"/>
                <w:b/>
              </w:rPr>
            </w:pPr>
            <w:r w:rsidRPr="00574CFC">
              <w:rPr>
                <w:rFonts w:ascii="Palatino Linotype" w:hAnsi="Palatino Linotype"/>
                <w:b/>
              </w:rPr>
              <w:t>COMISIONADA</w:t>
            </w:r>
          </w:p>
          <w:p w:rsidR="00401F76" w:rsidRPr="00574CFC" w:rsidRDefault="00401F76" w:rsidP="0084078F">
            <w:pPr>
              <w:jc w:val="center"/>
              <w:rPr>
                <w:rFonts w:ascii="Palatino Linotype" w:hAnsi="Palatino Linotype"/>
                <w:b/>
              </w:rPr>
            </w:pPr>
            <w:r>
              <w:rPr>
                <w:rFonts w:ascii="Palatino Linotype" w:hAnsi="Palatino Linotype" w:cs="Arial"/>
                <w:b/>
              </w:rPr>
              <w:t>(RÚBRICA)</w:t>
            </w:r>
          </w:p>
        </w:tc>
      </w:tr>
    </w:tbl>
    <w:p w:rsidR="004F38F8" w:rsidRDefault="004F38F8"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84078F" w:rsidRDefault="0084078F" w:rsidP="00D05D82">
      <w:pPr>
        <w:jc w:val="both"/>
        <w:rPr>
          <w:rFonts w:ascii="Palatino Linotype" w:eastAsia="Calibri" w:hAnsi="Palatino Linotype" w:cs="Arial"/>
          <w:sz w:val="20"/>
        </w:rPr>
      </w:pPr>
    </w:p>
    <w:p w:rsidR="0084078F" w:rsidRDefault="0084078F" w:rsidP="00D05D82">
      <w:pPr>
        <w:jc w:val="both"/>
        <w:rPr>
          <w:rFonts w:ascii="Palatino Linotype" w:eastAsia="Calibri" w:hAnsi="Palatino Linotype" w:cs="Arial"/>
          <w:sz w:val="20"/>
        </w:rPr>
      </w:pPr>
    </w:p>
    <w:p w:rsidR="004F38F8" w:rsidRDefault="004F38F8" w:rsidP="00D05D82">
      <w:pPr>
        <w:jc w:val="both"/>
        <w:rPr>
          <w:rFonts w:ascii="Palatino Linotype" w:eastAsia="Calibri" w:hAnsi="Palatino Linotype" w:cs="Arial"/>
          <w:sz w:val="20"/>
        </w:rPr>
      </w:pPr>
    </w:p>
    <w:p w:rsidR="0084078F" w:rsidRDefault="00D05D82" w:rsidP="00D05D82">
      <w:pPr>
        <w:jc w:val="both"/>
        <w:rPr>
          <w:rFonts w:ascii="Palatino Linotype" w:eastAsia="Calibri" w:hAnsi="Palatino Linotype" w:cs="Arial"/>
          <w:sz w:val="20"/>
        </w:rPr>
      </w:pPr>
      <w:bookmarkStart w:id="0" w:name="_GoBack"/>
      <w:bookmarkEnd w:id="0"/>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 xml:space="preserve">el recurso de revisión </w:t>
      </w:r>
      <w:r w:rsidR="00555AB1">
        <w:rPr>
          <w:rFonts w:ascii="Palatino Linotype" w:eastAsia="Calibri" w:hAnsi="Palatino Linotype" w:cs="Arial"/>
          <w:sz w:val="20"/>
        </w:rPr>
        <w:t>02016</w:t>
      </w:r>
      <w:r w:rsidR="005B3099" w:rsidRPr="00D05D82">
        <w:rPr>
          <w:rFonts w:ascii="Palatino Linotype" w:eastAsia="Calibri" w:hAnsi="Palatino Linotype" w:cs="Arial"/>
          <w:sz w:val="20"/>
        </w:rPr>
        <w:t xml:space="preserve">/INFOEM/IP/RR/2018, aprobada el </w:t>
      </w:r>
      <w:r w:rsidR="00555AB1">
        <w:rPr>
          <w:rFonts w:ascii="Palatino Linotype" w:eastAsia="Calibri" w:hAnsi="Palatino Linotype" w:cs="Arial"/>
          <w:sz w:val="20"/>
        </w:rPr>
        <w:t>quince de agosto</w:t>
      </w:r>
      <w:r w:rsidR="005B3099" w:rsidRPr="00D05D82">
        <w:rPr>
          <w:rFonts w:ascii="Palatino Linotype" w:eastAsia="Calibri" w:hAnsi="Palatino Linotype" w:cs="Arial"/>
          <w:sz w:val="20"/>
        </w:rPr>
        <w:t xml:space="preserve"> de dos mil </w:t>
      </w:r>
      <w:r w:rsidR="00DD5275" w:rsidRPr="00D05D82">
        <w:rPr>
          <w:rFonts w:ascii="Palatino Linotype" w:eastAsia="Calibri" w:hAnsi="Palatino Linotype" w:cs="Arial"/>
          <w:sz w:val="20"/>
        </w:rPr>
        <w:t>dieciocho</w:t>
      </w:r>
      <w:r w:rsidR="00555AB1">
        <w:rPr>
          <w:rFonts w:ascii="Palatino Linotype" w:eastAsia="Calibri" w:hAnsi="Palatino Linotype" w:cs="Arial"/>
          <w:sz w:val="20"/>
        </w:rPr>
        <w:t xml:space="preserve">. </w:t>
      </w:r>
    </w:p>
    <w:p w:rsidR="0084078F" w:rsidRPr="0084078F" w:rsidRDefault="0084078F" w:rsidP="00D05D82">
      <w:pPr>
        <w:jc w:val="both"/>
        <w:rPr>
          <w:rFonts w:ascii="Palatino Linotype" w:eastAsia="Calibri" w:hAnsi="Palatino Linotype" w:cs="Arial"/>
          <w:sz w:val="4"/>
        </w:rPr>
      </w:pPr>
    </w:p>
    <w:p w:rsidR="00A517EA" w:rsidRPr="00555AB1" w:rsidRDefault="00A517EA" w:rsidP="00D05D82">
      <w:pPr>
        <w:jc w:val="both"/>
        <w:rPr>
          <w:rFonts w:ascii="Palatino Linotype" w:eastAsia="Calibri" w:hAnsi="Palatino Linotype" w:cs="Arial"/>
          <w:sz w:val="20"/>
        </w:rPr>
      </w:pPr>
      <w:r w:rsidRPr="00D05D82">
        <w:rPr>
          <w:rFonts w:ascii="Palatino Linotype" w:eastAsia="Calibri" w:hAnsi="Palatino Linotype" w:cs="Arial"/>
          <w:sz w:val="20"/>
        </w:rPr>
        <w:t>YSM/</w:t>
      </w:r>
      <w:r w:rsidR="00975F9D">
        <w:rPr>
          <w:rFonts w:ascii="Palatino Linotype" w:eastAsia="Calibri" w:hAnsi="Palatino Linotype" w:cs="Arial"/>
          <w:sz w:val="20"/>
        </w:rPr>
        <w:t>EJCA</w:t>
      </w:r>
    </w:p>
    <w:sectPr w:rsidR="00A517EA" w:rsidRPr="00555AB1"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FC" w:rsidRDefault="00252FFC" w:rsidP="00DB3A83">
      <w:r>
        <w:separator/>
      </w:r>
    </w:p>
  </w:endnote>
  <w:endnote w:type="continuationSeparator" w:id="0">
    <w:p w:rsidR="00252FFC" w:rsidRDefault="00252FFC"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252FFC" w:rsidP="003056D9">
    <w:pPr>
      <w:pStyle w:val="Piedepgina"/>
      <w:tabs>
        <w:tab w:val="clear" w:pos="4252"/>
        <w:tab w:val="left" w:pos="4228"/>
      </w:tabs>
      <w:rPr>
        <w:rFonts w:ascii="Palatino Linotype" w:hAnsi="Palatino Linotype" w:cs="Arial"/>
        <w:b/>
        <w:bCs/>
        <w:sz w:val="20"/>
        <w:szCs w:val="20"/>
      </w:rPr>
    </w:pPr>
  </w:p>
  <w:p w:rsidR="003056D9" w:rsidRDefault="00252FFC" w:rsidP="003056D9">
    <w:pPr>
      <w:pStyle w:val="Piedepgina"/>
      <w:tabs>
        <w:tab w:val="clear" w:pos="4252"/>
        <w:tab w:val="left" w:pos="4228"/>
      </w:tabs>
      <w:rPr>
        <w:rFonts w:ascii="Palatino Linotype" w:hAnsi="Palatino Linotype" w:cs="Arial"/>
        <w:b/>
        <w:bCs/>
        <w:sz w:val="20"/>
        <w:szCs w:val="20"/>
      </w:rPr>
    </w:pPr>
  </w:p>
  <w:p w:rsidR="003056D9" w:rsidRDefault="00252FFC" w:rsidP="003056D9">
    <w:pPr>
      <w:pStyle w:val="Piedepgina"/>
      <w:tabs>
        <w:tab w:val="clear" w:pos="4252"/>
        <w:tab w:val="left" w:pos="4228"/>
      </w:tabs>
      <w:rPr>
        <w:rFonts w:ascii="Palatino Linotype" w:hAnsi="Palatino Linotype" w:cs="Arial"/>
        <w:b/>
        <w:bCs/>
        <w:sz w:val="20"/>
        <w:szCs w:val="20"/>
      </w:rPr>
    </w:pPr>
  </w:p>
  <w:p w:rsidR="00455CB3" w:rsidRDefault="00252FFC"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01F7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01F7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252FF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FC" w:rsidRDefault="00252FFC" w:rsidP="00DB3A83">
      <w:r>
        <w:separator/>
      </w:r>
    </w:p>
  </w:footnote>
  <w:footnote w:type="continuationSeparator" w:id="0">
    <w:p w:rsidR="00252FFC" w:rsidRDefault="00252FFC"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-450215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252FFC"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252FFC"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23404" w:rsidRDefault="00B756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6853B2">
      <w:rPr>
        <w:rFonts w:ascii="Palatino Linotype" w:hAnsi="Palatino Linotype" w:cs="Arial"/>
        <w:sz w:val="20"/>
        <w:szCs w:val="20"/>
      </w:rPr>
      <w:t>02016</w:t>
    </w:r>
    <w:r w:rsidR="0052090E">
      <w:rPr>
        <w:rFonts w:ascii="Palatino Linotype" w:hAnsi="Palatino Linotype" w:cs="Arial"/>
        <w:sz w:val="20"/>
        <w:szCs w:val="20"/>
      </w:rPr>
      <w:t>/INFOEM/IP/RR/2018</w:t>
    </w:r>
    <w:r w:rsidR="00823404" w:rsidRPr="00823404">
      <w:rPr>
        <w:rFonts w:ascii="Palatino Linotype" w:hAnsi="Palatino Linotype" w:cs="Arial"/>
        <w:sz w:val="20"/>
        <w:szCs w:val="20"/>
      </w:rPr>
      <w:t xml:space="preserve"> </w:t>
    </w:r>
  </w:p>
  <w:p w:rsidR="00125D2F" w:rsidRDefault="00252FFC"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69.2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B2353"/>
    <w:multiLevelType w:val="hybridMultilevel"/>
    <w:tmpl w:val="24D456E0"/>
    <w:lvl w:ilvl="0" w:tplc="080A000F">
      <w:start w:val="1"/>
      <w:numFmt w:val="decimal"/>
      <w:lvlText w:val="%1."/>
      <w:lvlJc w:val="left"/>
      <w:pPr>
        <w:ind w:left="784" w:hanging="360"/>
      </w:pPr>
    </w:lvl>
    <w:lvl w:ilvl="1" w:tplc="693C9A3C">
      <w:start w:val="1"/>
      <w:numFmt w:val="decimal"/>
      <w:lvlText w:val="%2."/>
      <w:lvlJc w:val="left"/>
      <w:pPr>
        <w:ind w:left="1504" w:hanging="360"/>
      </w:pPr>
      <w:rPr>
        <w:rFonts w:hint="default"/>
        <w:i/>
      </w:r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 w15:restartNumberingAfterBreak="0">
    <w:nsid w:val="6C886940"/>
    <w:multiLevelType w:val="hybridMultilevel"/>
    <w:tmpl w:val="265CF8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C52D8"/>
    <w:rsid w:val="000F0C55"/>
    <w:rsid w:val="00102649"/>
    <w:rsid w:val="00152C52"/>
    <w:rsid w:val="00191CF3"/>
    <w:rsid w:val="001976FE"/>
    <w:rsid w:val="001D10F9"/>
    <w:rsid w:val="00216380"/>
    <w:rsid w:val="00252FFC"/>
    <w:rsid w:val="00254372"/>
    <w:rsid w:val="00260EA1"/>
    <w:rsid w:val="002670A2"/>
    <w:rsid w:val="00296C85"/>
    <w:rsid w:val="002A6638"/>
    <w:rsid w:val="00303EAE"/>
    <w:rsid w:val="00324EBE"/>
    <w:rsid w:val="003C2F6A"/>
    <w:rsid w:val="00401F76"/>
    <w:rsid w:val="00424668"/>
    <w:rsid w:val="00437359"/>
    <w:rsid w:val="004B5C25"/>
    <w:rsid w:val="004F38F8"/>
    <w:rsid w:val="00507F01"/>
    <w:rsid w:val="0052090E"/>
    <w:rsid w:val="0053148C"/>
    <w:rsid w:val="00555AB1"/>
    <w:rsid w:val="005A4D7F"/>
    <w:rsid w:val="005B3099"/>
    <w:rsid w:val="005D46D6"/>
    <w:rsid w:val="005F3A32"/>
    <w:rsid w:val="00654FE9"/>
    <w:rsid w:val="006801D4"/>
    <w:rsid w:val="006853B2"/>
    <w:rsid w:val="0069708B"/>
    <w:rsid w:val="006B0D54"/>
    <w:rsid w:val="006B30CD"/>
    <w:rsid w:val="006C7D0A"/>
    <w:rsid w:val="006D731E"/>
    <w:rsid w:val="00722FFE"/>
    <w:rsid w:val="007C7A0C"/>
    <w:rsid w:val="007E4C17"/>
    <w:rsid w:val="00811B0B"/>
    <w:rsid w:val="00823404"/>
    <w:rsid w:val="008348C9"/>
    <w:rsid w:val="0084078F"/>
    <w:rsid w:val="00862F43"/>
    <w:rsid w:val="00864D3F"/>
    <w:rsid w:val="008A35FA"/>
    <w:rsid w:val="008B0732"/>
    <w:rsid w:val="00913E69"/>
    <w:rsid w:val="00975F9D"/>
    <w:rsid w:val="00983010"/>
    <w:rsid w:val="00990B93"/>
    <w:rsid w:val="009F0C59"/>
    <w:rsid w:val="00A12991"/>
    <w:rsid w:val="00A15DD9"/>
    <w:rsid w:val="00A2795F"/>
    <w:rsid w:val="00A340E0"/>
    <w:rsid w:val="00A517EA"/>
    <w:rsid w:val="00A77FA8"/>
    <w:rsid w:val="00A96975"/>
    <w:rsid w:val="00AE263C"/>
    <w:rsid w:val="00B30650"/>
    <w:rsid w:val="00B756DB"/>
    <w:rsid w:val="00B860BF"/>
    <w:rsid w:val="00BC2DD8"/>
    <w:rsid w:val="00C069FC"/>
    <w:rsid w:val="00C3451C"/>
    <w:rsid w:val="00CE0D21"/>
    <w:rsid w:val="00CF70C6"/>
    <w:rsid w:val="00D05D82"/>
    <w:rsid w:val="00D064C2"/>
    <w:rsid w:val="00D07F17"/>
    <w:rsid w:val="00D43461"/>
    <w:rsid w:val="00D55E6A"/>
    <w:rsid w:val="00D60969"/>
    <w:rsid w:val="00D724F4"/>
    <w:rsid w:val="00D872C4"/>
    <w:rsid w:val="00DB3A83"/>
    <w:rsid w:val="00DD5275"/>
    <w:rsid w:val="00E46292"/>
    <w:rsid w:val="00E80F4B"/>
    <w:rsid w:val="00E867DE"/>
    <w:rsid w:val="00F054F8"/>
    <w:rsid w:val="00F10238"/>
    <w:rsid w:val="00F579EE"/>
    <w:rsid w:val="00F64CC1"/>
    <w:rsid w:val="00F91A7F"/>
    <w:rsid w:val="00F976C6"/>
    <w:rsid w:val="00FA0BF5"/>
    <w:rsid w:val="00FA5F51"/>
    <w:rsid w:val="00FB6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basedOn w:val="Normal"/>
    <w:link w:val="PrrafodelistaCar"/>
    <w:uiPriority w:val="72"/>
    <w:qFormat/>
    <w:rsid w:val="00B860BF"/>
    <w:pPr>
      <w:ind w:left="720"/>
      <w:contextualSpacing/>
    </w:pPr>
  </w:style>
  <w:style w:type="character" w:customStyle="1" w:styleId="PrrafodelistaCar">
    <w:name w:val="Párrafo de lista Car"/>
    <w:link w:val="Prrafodelista"/>
    <w:uiPriority w:val="72"/>
    <w:qFormat/>
    <w:locked/>
    <w:rsid w:val="006853B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1299</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5</cp:revision>
  <cp:lastPrinted>2018-08-20T21:52:00Z</cp:lastPrinted>
  <dcterms:created xsi:type="dcterms:W3CDTF">2018-08-20T17:59:00Z</dcterms:created>
  <dcterms:modified xsi:type="dcterms:W3CDTF">2018-10-11T01:25:00Z</dcterms:modified>
</cp:coreProperties>
</file>